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eastAsia="仿宋_GB2312"/>
          <w:b/>
          <w:sz w:val="32"/>
          <w:szCs w:val="32"/>
          <w:lang w:val="en-US" w:eastAsia="zh-CN"/>
        </w:rPr>
      </w:pPr>
      <w:bookmarkStart w:id="0" w:name="_Toc37663361"/>
      <w:bookmarkStart w:id="1" w:name="_Toc8054347"/>
      <w:r>
        <w:rPr>
          <w:rFonts w:hint="eastAsia" w:ascii="CESI黑体-GB2312" w:hAnsi="CESI黑体-GB2312" w:eastAsia="CESI黑体-GB2312" w:cs="CESI黑体-GB2312"/>
          <w:b w:val="0"/>
          <w:bCs/>
          <w:sz w:val="32"/>
          <w:szCs w:val="32"/>
          <w:lang w:eastAsia="zh-CN"/>
        </w:rPr>
        <w:t>附件</w:t>
      </w:r>
      <w:r>
        <w:rPr>
          <w:rFonts w:hint="eastAsia" w:ascii="CESI黑体-GB2312" w:hAnsi="CESI黑体-GB2312" w:eastAsia="CESI黑体-GB2312" w:cs="CESI黑体-GB2312"/>
          <w:b w:val="0"/>
          <w:bCs/>
          <w:sz w:val="32"/>
          <w:szCs w:val="32"/>
          <w:lang w:val="en-US" w:eastAsia="zh-CN"/>
        </w:rPr>
        <w:t>1</w:t>
      </w:r>
    </w:p>
    <w:p>
      <w:pPr>
        <w:jc w:val="center"/>
        <w:rPr>
          <w:rFonts w:hint="eastAsia" w:ascii="仿宋_GB2312" w:eastAsia="仿宋_GB2312"/>
          <w:b/>
          <w:sz w:val="32"/>
          <w:szCs w:val="32"/>
        </w:rPr>
      </w:pPr>
      <w:r>
        <w:rPr>
          <w:rFonts w:hint="eastAsia" w:ascii="CESI小标宋-GB2312" w:hAnsi="CESI小标宋-GB2312" w:eastAsia="CESI小标宋-GB2312" w:cs="CESI小标宋-GB2312"/>
          <w:b w:val="0"/>
          <w:bCs w:val="0"/>
          <w:sz w:val="32"/>
          <w:szCs w:val="32"/>
          <w:shd w:val="clear" w:color="auto" w:fill="FFFFFF"/>
          <w:lang w:val="en-US" w:eastAsia="zh-CN"/>
        </w:rPr>
        <w:t>2</w:t>
      </w:r>
      <w:r>
        <w:rPr>
          <w:rFonts w:hint="eastAsia" w:ascii="CESI小标宋-GB2312" w:hAnsi="CESI小标宋-GB2312" w:eastAsia="CESI小标宋-GB2312" w:cs="CESI小标宋-GB2312"/>
          <w:b w:val="0"/>
          <w:bCs w:val="0"/>
          <w:sz w:val="32"/>
          <w:szCs w:val="32"/>
          <w:shd w:val="clear" w:color="auto" w:fill="FFFFFF"/>
        </w:rPr>
        <w:t>022年深圳市首届全民</w:t>
      </w:r>
      <w:r>
        <w:rPr>
          <w:rFonts w:hint="eastAsia" w:ascii="CESI小标宋-GB2312" w:hAnsi="CESI小标宋-GB2312" w:eastAsia="CESI小标宋-GB2312" w:cs="CESI小标宋-GB2312"/>
          <w:b w:val="0"/>
          <w:bCs w:val="0"/>
          <w:sz w:val="32"/>
          <w:szCs w:val="32"/>
          <w:shd w:val="clear" w:color="auto" w:fill="FFFFFF"/>
          <w:lang w:eastAsia="zh-CN"/>
        </w:rPr>
        <w:t>健身</w:t>
      </w:r>
      <w:r>
        <w:rPr>
          <w:rFonts w:hint="eastAsia" w:ascii="CESI小标宋-GB2312" w:hAnsi="CESI小标宋-GB2312" w:eastAsia="CESI小标宋-GB2312" w:cs="CESI小标宋-GB2312"/>
          <w:b w:val="0"/>
          <w:bCs w:val="0"/>
          <w:sz w:val="32"/>
          <w:szCs w:val="32"/>
          <w:shd w:val="clear" w:color="auto" w:fill="FFFFFF"/>
        </w:rPr>
        <w:t>啦啦队大赛项目</w:t>
      </w:r>
      <w:r>
        <w:rPr>
          <w:rFonts w:hint="eastAsia" w:ascii="CESI小标宋-GB2312" w:hAnsi="CESI小标宋-GB2312" w:eastAsia="CESI小标宋-GB2312" w:cs="CESI小标宋-GB2312"/>
          <w:b w:val="0"/>
          <w:bCs w:val="0"/>
          <w:sz w:val="32"/>
          <w:szCs w:val="32"/>
        </w:rPr>
        <w:t>评审评分表</w:t>
      </w:r>
    </w:p>
    <w:tbl>
      <w:tblPr>
        <w:tblStyle w:val="8"/>
        <w:tblpPr w:leftFromText="180" w:rightFromText="180" w:vertAnchor="text" w:horzAnchor="margin" w:tblpXSpec="center" w:tblpY="24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258"/>
        <w:gridCol w:w="587"/>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94" w:type="dxa"/>
            <w:noWrap w:val="0"/>
            <w:vAlign w:val="center"/>
          </w:tcPr>
          <w:p>
            <w:pPr>
              <w:widowControl/>
              <w:spacing w:line="320" w:lineRule="exact"/>
              <w:jc w:val="center"/>
              <w:rPr>
                <w:rFonts w:hint="eastAsia" w:ascii="仿宋_GB2312" w:hAnsi="Arial" w:eastAsia="仿宋_GB2312"/>
                <w:sz w:val="24"/>
                <w:szCs w:val="24"/>
              </w:rPr>
            </w:pPr>
            <w:r>
              <w:rPr>
                <w:rFonts w:hint="eastAsia" w:ascii="仿宋_GB2312" w:hAnsi="Arial" w:eastAsia="仿宋_GB2312"/>
                <w:sz w:val="24"/>
                <w:szCs w:val="24"/>
              </w:rPr>
              <w:t>序号</w:t>
            </w:r>
          </w:p>
        </w:tc>
        <w:tc>
          <w:tcPr>
            <w:tcW w:w="1258" w:type="dxa"/>
            <w:noWrap w:val="0"/>
            <w:vAlign w:val="center"/>
          </w:tcPr>
          <w:p>
            <w:pPr>
              <w:widowControl/>
              <w:spacing w:line="320" w:lineRule="exact"/>
              <w:jc w:val="center"/>
              <w:rPr>
                <w:rFonts w:hint="eastAsia" w:ascii="仿宋_GB2312" w:hAnsi="Arial" w:eastAsia="仿宋_GB2312"/>
                <w:sz w:val="24"/>
                <w:szCs w:val="24"/>
              </w:rPr>
            </w:pPr>
            <w:r>
              <w:rPr>
                <w:rFonts w:hint="eastAsia" w:ascii="仿宋_GB2312" w:hAnsi="Arial" w:eastAsia="仿宋_GB2312"/>
                <w:sz w:val="24"/>
                <w:szCs w:val="24"/>
              </w:rPr>
              <w:t>评分</w:t>
            </w:r>
          </w:p>
          <w:p>
            <w:pPr>
              <w:widowControl/>
              <w:spacing w:line="320" w:lineRule="exact"/>
              <w:jc w:val="center"/>
              <w:rPr>
                <w:rFonts w:hint="eastAsia" w:ascii="仿宋_GB2312" w:hAnsi="Arial" w:eastAsia="仿宋_GB2312"/>
                <w:sz w:val="24"/>
                <w:szCs w:val="24"/>
              </w:rPr>
            </w:pPr>
            <w:r>
              <w:rPr>
                <w:rFonts w:hint="eastAsia" w:ascii="仿宋_GB2312" w:hAnsi="Arial" w:eastAsia="仿宋_GB2312"/>
                <w:sz w:val="24"/>
                <w:szCs w:val="24"/>
              </w:rPr>
              <w:t>因素</w:t>
            </w:r>
          </w:p>
        </w:tc>
        <w:tc>
          <w:tcPr>
            <w:tcW w:w="587" w:type="dxa"/>
            <w:noWrap w:val="0"/>
            <w:vAlign w:val="center"/>
          </w:tcPr>
          <w:p>
            <w:pPr>
              <w:widowControl/>
              <w:spacing w:line="320" w:lineRule="exact"/>
              <w:jc w:val="center"/>
              <w:rPr>
                <w:rFonts w:hint="eastAsia" w:ascii="仿宋_GB2312" w:hAnsi="Arial" w:eastAsia="仿宋_GB2312"/>
                <w:sz w:val="24"/>
                <w:szCs w:val="24"/>
              </w:rPr>
            </w:pPr>
            <w:r>
              <w:rPr>
                <w:rFonts w:hint="eastAsia" w:ascii="仿宋_GB2312" w:hAnsi="Arial" w:eastAsia="仿宋_GB2312"/>
                <w:sz w:val="24"/>
                <w:szCs w:val="24"/>
              </w:rPr>
              <w:t>分值</w:t>
            </w:r>
          </w:p>
        </w:tc>
        <w:tc>
          <w:tcPr>
            <w:tcW w:w="6517" w:type="dxa"/>
            <w:noWrap w:val="0"/>
            <w:vAlign w:val="center"/>
          </w:tcPr>
          <w:p>
            <w:pPr>
              <w:widowControl/>
              <w:spacing w:line="320" w:lineRule="exact"/>
              <w:jc w:val="center"/>
              <w:rPr>
                <w:rFonts w:hint="eastAsia" w:ascii="仿宋_GB2312" w:hAnsi="Arial" w:eastAsia="仿宋_GB2312"/>
                <w:sz w:val="24"/>
                <w:szCs w:val="24"/>
              </w:rPr>
            </w:pPr>
            <w:r>
              <w:rPr>
                <w:rFonts w:hint="eastAsia" w:ascii="仿宋_GB2312" w:hAnsi="Arial" w:eastAsia="仿宋_GB2312"/>
                <w:sz w:val="24"/>
                <w:szCs w:val="24"/>
              </w:rPr>
              <w:t>评 价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94" w:type="dxa"/>
            <w:vMerge w:val="restart"/>
            <w:noWrap w:val="0"/>
            <w:vAlign w:val="center"/>
          </w:tcPr>
          <w:p>
            <w:pPr>
              <w:jc w:val="center"/>
              <w:rPr>
                <w:rFonts w:hint="eastAsia"/>
                <w:szCs w:val="21"/>
              </w:rPr>
            </w:pPr>
            <w:r>
              <w:rPr>
                <w:rFonts w:hint="eastAsia"/>
                <w:szCs w:val="21"/>
              </w:rPr>
              <w:t>一</w:t>
            </w:r>
          </w:p>
        </w:tc>
        <w:tc>
          <w:tcPr>
            <w:tcW w:w="1258" w:type="dxa"/>
            <w:vMerge w:val="restart"/>
            <w:noWrap w:val="0"/>
            <w:vAlign w:val="center"/>
          </w:tcPr>
          <w:p>
            <w:pPr>
              <w:jc w:val="center"/>
              <w:rPr>
                <w:rFonts w:hint="eastAsia"/>
                <w:szCs w:val="21"/>
              </w:rPr>
            </w:pPr>
            <w:r>
              <w:rPr>
                <w:rFonts w:hint="eastAsia"/>
                <w:szCs w:val="21"/>
              </w:rPr>
              <w:t>投标报价</w:t>
            </w:r>
          </w:p>
        </w:tc>
        <w:tc>
          <w:tcPr>
            <w:tcW w:w="587" w:type="dxa"/>
            <w:vMerge w:val="restart"/>
            <w:noWrap w:val="0"/>
            <w:vAlign w:val="center"/>
          </w:tcPr>
          <w:p>
            <w:pPr>
              <w:jc w:val="center"/>
              <w:rPr>
                <w:rFonts w:hint="default" w:eastAsia="宋体"/>
                <w:szCs w:val="21"/>
                <w:lang w:val="en-US" w:eastAsia="zh-CN"/>
              </w:rPr>
            </w:pPr>
            <w:r>
              <w:rPr>
                <w:rFonts w:hint="eastAsia"/>
                <w:szCs w:val="21"/>
                <w:lang w:val="en-US" w:eastAsia="zh-CN"/>
              </w:rPr>
              <w:t>30</w:t>
            </w:r>
          </w:p>
        </w:tc>
        <w:tc>
          <w:tcPr>
            <w:tcW w:w="6517" w:type="dxa"/>
            <w:vMerge w:val="restart"/>
            <w:noWrap w:val="0"/>
            <w:vAlign w:val="center"/>
          </w:tcPr>
          <w:p>
            <w:pPr>
              <w:spacing w:line="240" w:lineRule="exact"/>
              <w:ind w:firstLine="420" w:firstLineChars="200"/>
              <w:jc w:val="left"/>
              <w:rPr>
                <w:rFonts w:ascii="宋体" w:hAnsi="宋体"/>
                <w:szCs w:val="21"/>
              </w:rPr>
            </w:pPr>
            <w:r>
              <w:rPr>
                <w:rFonts w:ascii="宋体" w:hAnsi="宋体"/>
                <w:szCs w:val="21"/>
              </w:rPr>
              <w:t>综合评分法中的价格分统一采用低价优先法计算,即满足招标文件要求且投标价格最低的投标报价为评标基准价,其价格分为满分</w:t>
            </w:r>
            <w:r>
              <w:rPr>
                <w:rFonts w:hint="eastAsia" w:ascii="宋体" w:hAnsi="宋体"/>
                <w:szCs w:val="21"/>
              </w:rPr>
              <w:t>，但不以最低报价作为中标依据</w:t>
            </w:r>
            <w:r>
              <w:rPr>
                <w:rFonts w:ascii="宋体" w:hAnsi="宋体"/>
                <w:szCs w:val="21"/>
              </w:rPr>
              <w:t>。其他投标人的价格分统一按照下列公式计算:</w:t>
            </w:r>
          </w:p>
          <w:p>
            <w:pPr>
              <w:spacing w:line="240" w:lineRule="exact"/>
              <w:ind w:right="420"/>
              <w:rPr>
                <w:rFonts w:hint="eastAsia"/>
                <w:sz w:val="28"/>
                <w:szCs w:val="28"/>
              </w:rPr>
            </w:pPr>
            <w:r>
              <w:rPr>
                <w:rFonts w:ascii="宋体" w:hAnsi="宋体"/>
                <w:b/>
                <w:szCs w:val="21"/>
              </w:rPr>
              <w:t>投标报价得分=(评标基准价/投标报价)×</w:t>
            </w:r>
            <w:r>
              <w:rPr>
                <w:rFonts w:hint="eastAsia" w:ascii="宋体"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0" w:type="auto"/>
            <w:vMerge w:val="continue"/>
            <w:noWrap w:val="0"/>
            <w:vAlign w:val="center"/>
          </w:tcPr>
          <w:p>
            <w:pPr>
              <w:widowControl/>
            </w:pPr>
          </w:p>
        </w:tc>
        <w:tc>
          <w:tcPr>
            <w:tcW w:w="0" w:type="auto"/>
            <w:vMerge w:val="continue"/>
            <w:noWrap w:val="0"/>
            <w:vAlign w:val="center"/>
          </w:tcPr>
          <w:p>
            <w:pPr>
              <w:widowControl/>
            </w:pPr>
          </w:p>
        </w:tc>
        <w:tc>
          <w:tcPr>
            <w:tcW w:w="0" w:type="auto"/>
            <w:vMerge w:val="continue"/>
            <w:noWrap w:val="0"/>
            <w:vAlign w:val="center"/>
          </w:tcPr>
          <w:p>
            <w:pPr>
              <w:widowControl/>
            </w:pPr>
          </w:p>
        </w:tc>
        <w:tc>
          <w:tcPr>
            <w:tcW w:w="6517" w:type="dxa"/>
            <w:vMerge w:val="continue"/>
            <w:noWrap w:val="0"/>
            <w:vAlign w:val="center"/>
          </w:tcPr>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94" w:type="dxa"/>
            <w:vMerge w:val="restart"/>
            <w:noWrap w:val="0"/>
            <w:vAlign w:val="center"/>
          </w:tcPr>
          <w:p>
            <w:pPr>
              <w:jc w:val="center"/>
              <w:rPr>
                <w:rFonts w:hint="eastAsia"/>
                <w:b/>
                <w:szCs w:val="21"/>
              </w:rPr>
            </w:pPr>
            <w:r>
              <w:rPr>
                <w:rFonts w:hint="eastAsia"/>
                <w:b/>
                <w:szCs w:val="21"/>
              </w:rPr>
              <w:t>二</w:t>
            </w:r>
          </w:p>
        </w:tc>
        <w:tc>
          <w:tcPr>
            <w:tcW w:w="1258" w:type="dxa"/>
            <w:vMerge w:val="restart"/>
            <w:noWrap w:val="0"/>
            <w:vAlign w:val="center"/>
          </w:tcPr>
          <w:p>
            <w:pPr>
              <w:jc w:val="center"/>
              <w:rPr>
                <w:rFonts w:hint="eastAsia"/>
                <w:szCs w:val="21"/>
              </w:rPr>
            </w:pPr>
            <w:r>
              <w:rPr>
                <w:rFonts w:hint="eastAsia"/>
                <w:szCs w:val="21"/>
              </w:rPr>
              <w:t>技术部分</w:t>
            </w:r>
          </w:p>
        </w:tc>
        <w:tc>
          <w:tcPr>
            <w:tcW w:w="587" w:type="dxa"/>
            <w:vMerge w:val="restart"/>
            <w:noWrap w:val="0"/>
            <w:vAlign w:val="center"/>
          </w:tcPr>
          <w:p>
            <w:pPr>
              <w:spacing w:line="400" w:lineRule="exact"/>
              <w:jc w:val="center"/>
              <w:rPr>
                <w:rFonts w:hint="eastAsia"/>
                <w:szCs w:val="21"/>
              </w:rPr>
            </w:pPr>
            <w:r>
              <w:rPr>
                <w:rFonts w:hint="eastAsia" w:ascii="宋体" w:hAnsi="宋体"/>
                <w:szCs w:val="21"/>
              </w:rPr>
              <w:t>60</w:t>
            </w:r>
          </w:p>
        </w:tc>
        <w:tc>
          <w:tcPr>
            <w:tcW w:w="6517" w:type="dxa"/>
            <w:noWrap w:val="0"/>
            <w:vAlign w:val="center"/>
          </w:tcPr>
          <w:p>
            <w:pPr>
              <w:spacing w:line="0" w:lineRule="atLeast"/>
              <w:rPr>
                <w:rFonts w:hint="eastAsia" w:ascii="宋体" w:hAnsi="宋体"/>
                <w:b/>
                <w:szCs w:val="28"/>
              </w:rPr>
            </w:pPr>
            <w:r>
              <w:rPr>
                <w:rFonts w:hint="eastAsia" w:ascii="宋体" w:hAnsi="宋体"/>
                <w:b/>
                <w:szCs w:val="28"/>
              </w:rPr>
              <w:t>1、</w:t>
            </w:r>
            <w:r>
              <w:rPr>
                <w:rFonts w:ascii="宋体" w:hAnsi="宋体"/>
                <w:b/>
                <w:szCs w:val="28"/>
              </w:rPr>
              <w:t>实施方案</w:t>
            </w:r>
            <w:r>
              <w:rPr>
                <w:rFonts w:hint="eastAsia" w:ascii="宋体" w:hAnsi="宋体"/>
                <w:b/>
                <w:szCs w:val="28"/>
              </w:rPr>
              <w:t>（</w:t>
            </w:r>
            <w:r>
              <w:rPr>
                <w:rFonts w:hint="eastAsia" w:ascii="宋体" w:hAnsi="宋体"/>
                <w:b/>
                <w:szCs w:val="28"/>
                <w:lang w:val="en-US" w:eastAsia="zh-CN"/>
              </w:rPr>
              <w:t>3</w:t>
            </w:r>
            <w:r>
              <w:rPr>
                <w:rFonts w:ascii="宋体" w:hAnsi="宋体"/>
                <w:b/>
                <w:szCs w:val="28"/>
              </w:rPr>
              <w:t>0</w:t>
            </w:r>
            <w:r>
              <w:rPr>
                <w:rFonts w:hint="eastAsia" w:ascii="宋体" w:hAnsi="宋体"/>
                <w:b/>
                <w:szCs w:val="28"/>
              </w:rPr>
              <w:t>分）</w:t>
            </w:r>
          </w:p>
          <w:p>
            <w:pPr>
              <w:spacing w:line="0" w:lineRule="atLeast"/>
              <w:rPr>
                <w:rFonts w:hint="default"/>
              </w:rPr>
            </w:pPr>
            <w:r>
              <w:rPr>
                <w:rFonts w:hint="eastAsia"/>
              </w:rPr>
              <w:t>评委评分，考核方案策略、方案资源、方案流程、方案实施保障等整体策划能力及实施能力</w:t>
            </w:r>
            <w:r>
              <w:rPr>
                <w:rFonts w:hint="default"/>
              </w:rPr>
              <w:t>，根据：（1）</w:t>
            </w:r>
            <w:r>
              <w:rPr>
                <w:rFonts w:ascii="Times New Roman" w:hAnsi="宋体"/>
                <w:color w:val="000000"/>
                <w:szCs w:val="21"/>
              </w:rPr>
              <w:t>方案的</w:t>
            </w:r>
            <w:r>
              <w:rPr>
                <w:rFonts w:hint="default"/>
              </w:rPr>
              <w:t>赛事活动</w:t>
            </w:r>
            <w:r>
              <w:rPr>
                <w:rFonts w:ascii="Times New Roman" w:hAnsi="宋体"/>
                <w:color w:val="000000"/>
                <w:szCs w:val="21"/>
              </w:rPr>
              <w:t>完全贴合项目主题</w:t>
            </w:r>
            <w:r>
              <w:rPr>
                <w:rFonts w:hint="default"/>
              </w:rPr>
              <w:t>；（2）</w:t>
            </w:r>
            <w:r>
              <w:rPr>
                <w:rFonts w:ascii="Times New Roman" w:hAnsi="宋体"/>
                <w:color w:val="000000"/>
                <w:szCs w:val="21"/>
              </w:rPr>
              <w:t>方案的</w:t>
            </w:r>
            <w:r>
              <w:rPr>
                <w:rFonts w:hint="default"/>
              </w:rPr>
              <w:t>赛事活动</w:t>
            </w:r>
            <w:r>
              <w:rPr>
                <w:rFonts w:ascii="Times New Roman" w:hAnsi="宋体"/>
                <w:color w:val="000000"/>
                <w:szCs w:val="21"/>
              </w:rPr>
              <w:t>创意新颖，活动内容、赛事赛制丰富多样</w:t>
            </w:r>
            <w:r>
              <w:rPr>
                <w:rFonts w:hint="default"/>
              </w:rPr>
              <w:t>；（3）</w:t>
            </w:r>
            <w:r>
              <w:rPr>
                <w:rFonts w:ascii="Times New Roman" w:hAnsi="宋体"/>
                <w:color w:val="000000"/>
                <w:szCs w:val="21"/>
              </w:rPr>
              <w:t>方案的</w:t>
            </w:r>
            <w:r>
              <w:rPr>
                <w:rFonts w:hint="default"/>
              </w:rPr>
              <w:t>赛事活动</w:t>
            </w:r>
            <w:r>
              <w:rPr>
                <w:rFonts w:ascii="Times New Roman" w:hAnsi="宋体"/>
                <w:color w:val="000000"/>
                <w:szCs w:val="21"/>
              </w:rPr>
              <w:t>符合实际情况，具备可操作性；</w:t>
            </w:r>
            <w:r>
              <w:rPr>
                <w:rFonts w:hint="default"/>
              </w:rPr>
              <w:t>（4）</w:t>
            </w:r>
            <w:r>
              <w:rPr>
                <w:rFonts w:hint="eastAsia"/>
              </w:rPr>
              <w:t>投标人对项目的理解及认识充分</w:t>
            </w:r>
            <w:r>
              <w:rPr>
                <w:rFonts w:hint="default"/>
              </w:rPr>
              <w:t>，熟悉项目流程操作，内容细致、完善。</w:t>
            </w:r>
          </w:p>
          <w:p>
            <w:pPr>
              <w:numPr>
                <w:ilvl w:val="0"/>
                <w:numId w:val="1"/>
              </w:numPr>
              <w:spacing w:line="0" w:lineRule="atLeast"/>
              <w:rPr>
                <w:rFonts w:hint="eastAsia"/>
              </w:rPr>
            </w:pPr>
            <w:r>
              <w:rPr>
                <w:rFonts w:hint="default"/>
              </w:rPr>
              <w:t>满足以上四项要求，得</w:t>
            </w:r>
            <w:r>
              <w:rPr>
                <w:rFonts w:hint="eastAsia"/>
                <w:lang w:val="en-US" w:eastAsia="zh-CN"/>
              </w:rPr>
              <w:t>23</w:t>
            </w:r>
            <w:r>
              <w:rPr>
                <w:rFonts w:hint="eastAsia"/>
              </w:rPr>
              <w:t>—</w:t>
            </w:r>
            <w:r>
              <w:rPr>
                <w:rFonts w:hint="eastAsia"/>
                <w:lang w:val="en-US" w:eastAsia="zh-CN"/>
              </w:rPr>
              <w:t>3</w:t>
            </w:r>
            <w:r>
              <w:rPr>
                <w:rFonts w:hint="eastAsia"/>
              </w:rPr>
              <w:t>0分；</w:t>
            </w:r>
          </w:p>
          <w:p>
            <w:pPr>
              <w:numPr>
                <w:ilvl w:val="0"/>
                <w:numId w:val="1"/>
              </w:numPr>
              <w:spacing w:line="0" w:lineRule="atLeast"/>
            </w:pPr>
            <w:r>
              <w:rPr>
                <w:rFonts w:hint="default"/>
              </w:rPr>
              <w:t>满足以上三项要求，得</w:t>
            </w:r>
            <w:r>
              <w:rPr>
                <w:rFonts w:hint="eastAsia"/>
              </w:rPr>
              <w:t>1</w:t>
            </w:r>
            <w:r>
              <w:rPr>
                <w:rFonts w:hint="eastAsia"/>
                <w:lang w:val="en-US" w:eastAsia="zh-CN"/>
              </w:rPr>
              <w:t>6</w:t>
            </w:r>
            <w:r>
              <w:rPr>
                <w:rFonts w:hint="eastAsia"/>
              </w:rPr>
              <w:t>—</w:t>
            </w:r>
            <w:r>
              <w:rPr>
                <w:rFonts w:hint="eastAsia"/>
                <w:lang w:val="en-US" w:eastAsia="zh-CN"/>
              </w:rPr>
              <w:t>22</w:t>
            </w:r>
            <w:r>
              <w:rPr>
                <w:rFonts w:hint="eastAsia"/>
              </w:rPr>
              <w:t>分；</w:t>
            </w:r>
          </w:p>
          <w:p>
            <w:pPr>
              <w:numPr>
                <w:ilvl w:val="0"/>
                <w:numId w:val="1"/>
              </w:numPr>
              <w:spacing w:line="0" w:lineRule="atLeast"/>
              <w:rPr>
                <w:rFonts w:hint="eastAsia"/>
              </w:rPr>
            </w:pPr>
            <w:r>
              <w:rPr>
                <w:rFonts w:hint="default"/>
              </w:rPr>
              <w:t>满足以上二项要求，得</w:t>
            </w:r>
            <w:r>
              <w:rPr>
                <w:rFonts w:hint="eastAsia"/>
                <w:lang w:val="en-US" w:eastAsia="zh-CN"/>
              </w:rPr>
              <w:t>9</w:t>
            </w:r>
            <w:r>
              <w:rPr>
                <w:rFonts w:hint="eastAsia"/>
              </w:rPr>
              <w:t>—</w:t>
            </w:r>
            <w:r>
              <w:rPr>
                <w:rFonts w:hint="default"/>
              </w:rPr>
              <w:t>1</w:t>
            </w:r>
            <w:r>
              <w:rPr>
                <w:rFonts w:hint="eastAsia"/>
                <w:lang w:val="en-US" w:eastAsia="zh-CN"/>
              </w:rPr>
              <w:t>5</w:t>
            </w:r>
            <w:r>
              <w:rPr>
                <w:rFonts w:hint="eastAsia"/>
              </w:rPr>
              <w:t>分；</w:t>
            </w:r>
          </w:p>
          <w:p>
            <w:pPr>
              <w:spacing w:line="0" w:lineRule="atLeast"/>
              <w:rPr>
                <w:rFonts w:hint="eastAsia" w:ascii="宋体" w:hAnsi="宋体"/>
                <w:b/>
                <w:szCs w:val="28"/>
              </w:rPr>
            </w:pPr>
            <w:r>
              <w:rPr>
                <w:rFonts w:hint="default"/>
              </w:rPr>
              <w:t>满足以上一项及其以下要求，得0-</w:t>
            </w:r>
            <w:r>
              <w:rPr>
                <w:rFonts w:hint="eastAsia"/>
                <w:lang w:val="en-US" w:eastAsia="zh-CN"/>
              </w:rPr>
              <w:t>8</w:t>
            </w:r>
            <w:r>
              <w:rPr>
                <w:rFonts w:hint="default"/>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0" w:type="auto"/>
            <w:vMerge w:val="continue"/>
            <w:noWrap w:val="0"/>
            <w:vAlign w:val="center"/>
          </w:tcPr>
          <w:p>
            <w:pPr>
              <w:jc w:val="center"/>
              <w:rPr>
                <w:rFonts w:hint="eastAsia"/>
                <w:b/>
                <w:szCs w:val="21"/>
              </w:rPr>
            </w:pPr>
          </w:p>
        </w:tc>
        <w:tc>
          <w:tcPr>
            <w:tcW w:w="0" w:type="auto"/>
            <w:vMerge w:val="continue"/>
            <w:noWrap w:val="0"/>
            <w:vAlign w:val="center"/>
          </w:tcPr>
          <w:p>
            <w:pPr>
              <w:jc w:val="center"/>
              <w:rPr>
                <w:rFonts w:hint="eastAsia"/>
                <w:szCs w:val="21"/>
              </w:rPr>
            </w:pPr>
          </w:p>
        </w:tc>
        <w:tc>
          <w:tcPr>
            <w:tcW w:w="0" w:type="auto"/>
            <w:vMerge w:val="continue"/>
            <w:noWrap w:val="0"/>
            <w:vAlign w:val="center"/>
          </w:tcPr>
          <w:p>
            <w:pPr>
              <w:jc w:val="center"/>
              <w:rPr>
                <w:rFonts w:hint="eastAsia"/>
                <w:szCs w:val="21"/>
              </w:rPr>
            </w:pPr>
          </w:p>
        </w:tc>
        <w:tc>
          <w:tcPr>
            <w:tcW w:w="6517" w:type="dxa"/>
            <w:noWrap w:val="0"/>
            <w:vAlign w:val="center"/>
          </w:tcPr>
          <w:p>
            <w:pPr>
              <w:spacing w:line="0" w:lineRule="atLeast"/>
              <w:rPr>
                <w:rFonts w:hint="eastAsia" w:ascii="宋体" w:hAnsi="宋体"/>
                <w:b/>
                <w:szCs w:val="28"/>
              </w:rPr>
            </w:pPr>
            <w:r>
              <w:rPr>
                <w:rFonts w:hint="default" w:ascii="宋体" w:hAnsi="宋体"/>
                <w:b/>
                <w:szCs w:val="28"/>
              </w:rPr>
              <w:t>2</w:t>
            </w:r>
            <w:r>
              <w:rPr>
                <w:rFonts w:hint="eastAsia" w:ascii="宋体" w:hAnsi="宋体"/>
                <w:b/>
                <w:szCs w:val="28"/>
              </w:rPr>
              <w:t>、项目管理执行力（</w:t>
            </w:r>
            <w:r>
              <w:rPr>
                <w:rFonts w:hint="default" w:ascii="宋体" w:hAnsi="宋体"/>
                <w:b/>
                <w:szCs w:val="28"/>
              </w:rPr>
              <w:t>15</w:t>
            </w:r>
            <w:r>
              <w:rPr>
                <w:rFonts w:hint="eastAsia" w:ascii="宋体" w:hAnsi="宋体"/>
                <w:b/>
                <w:szCs w:val="28"/>
              </w:rPr>
              <w:t>分）</w:t>
            </w:r>
          </w:p>
          <w:p>
            <w:pPr>
              <w:spacing w:line="320" w:lineRule="exact"/>
              <w:jc w:val="left"/>
              <w:rPr>
                <w:rFonts w:hint="eastAsia"/>
              </w:rPr>
            </w:pPr>
            <w:r>
              <w:rPr>
                <w:rFonts w:hint="eastAsia"/>
              </w:rPr>
              <w:t>能够提供用于执行该服务合作不少于</w:t>
            </w:r>
            <w:r>
              <w:rPr>
                <w:rFonts w:hint="eastAsia"/>
                <w:lang w:val="en-US" w:eastAsia="zh-CN"/>
              </w:rPr>
              <w:t>3</w:t>
            </w:r>
            <w:r>
              <w:rPr>
                <w:rFonts w:hint="eastAsia"/>
              </w:rPr>
              <w:t>人的核心工作团队</w:t>
            </w:r>
            <w:r>
              <w:rPr>
                <w:rFonts w:hint="eastAsia" w:hAnsi="宋体"/>
              </w:rPr>
              <w:t>，</w:t>
            </w:r>
            <w:r>
              <w:rPr>
                <w:rFonts w:hint="eastAsia"/>
              </w:rPr>
              <w:t>团队</w:t>
            </w:r>
            <w:r>
              <w:t>人员具备</w:t>
            </w:r>
            <w:r>
              <w:rPr>
                <w:rFonts w:hint="eastAsia"/>
              </w:rPr>
              <w:t>同类</w:t>
            </w:r>
            <w:r>
              <w:t>项目服务</w:t>
            </w:r>
            <w:r>
              <w:rPr>
                <w:rFonts w:hint="eastAsia"/>
              </w:rPr>
              <w:t>经验，投标人拟安排的团队人员必须为单位自有员工，提供自有员工</w:t>
            </w:r>
            <w:r>
              <w:rPr>
                <w:rFonts w:hint="eastAsia"/>
                <w:b/>
                <w:bCs/>
              </w:rPr>
              <w:t>承诺函</w:t>
            </w:r>
            <w:r>
              <w:rPr>
                <w:rFonts w:hint="eastAsia"/>
              </w:rPr>
              <w:t>（格式自定），在此基础上：</w:t>
            </w:r>
          </w:p>
          <w:p>
            <w:pPr>
              <w:spacing w:line="0" w:lineRule="atLeast"/>
              <w:rPr>
                <w:rFonts w:hint="eastAsia" w:ascii="宋体" w:hAnsi="宋体"/>
                <w:b/>
                <w:szCs w:val="28"/>
              </w:rPr>
            </w:pPr>
            <w:r>
              <w:t>配备的成员人员具有</w:t>
            </w:r>
            <w:r>
              <w:rPr>
                <w:rFonts w:hint="eastAsia"/>
                <w:lang w:eastAsia="zh-CN"/>
              </w:rPr>
              <w:t>本科</w:t>
            </w:r>
            <w:r>
              <w:rPr>
                <w:rFonts w:hint="eastAsia"/>
              </w:rPr>
              <w:t>及</w:t>
            </w:r>
            <w:r>
              <w:t>以上学历的，提供该</w:t>
            </w:r>
            <w:r>
              <w:rPr>
                <w:rFonts w:hint="eastAsia"/>
              </w:rPr>
              <w:t>名</w:t>
            </w:r>
            <w:r>
              <w:t>成员学历证明文件。每提供1名得</w:t>
            </w:r>
            <w:r>
              <w:rPr>
                <w:rFonts w:hint="eastAsia"/>
                <w:lang w:val="en-US" w:eastAsia="zh-CN"/>
              </w:rPr>
              <w:t>5</w:t>
            </w:r>
            <w:r>
              <w:t>分，满分</w:t>
            </w:r>
            <w:r>
              <w:rPr>
                <w:rFonts w:hint="default"/>
              </w:rPr>
              <w:t>15</w:t>
            </w:r>
            <w:r>
              <w:t>分，</w:t>
            </w:r>
            <w:r>
              <w:rPr>
                <w:rFonts w:hint="eastAsia"/>
              </w:rPr>
              <w:t>未提供或提供无效证</w:t>
            </w:r>
            <w:r>
              <w:t>明</w:t>
            </w:r>
            <w:r>
              <w:rPr>
                <w:rFonts w:hint="eastAsia"/>
              </w:rPr>
              <w:t>文件的</w:t>
            </w:r>
            <w:r>
              <w:t>，</w:t>
            </w:r>
            <w:r>
              <w:rPr>
                <w:rFonts w:hint="eastAsia"/>
              </w:rPr>
              <w:t>不得分</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0" w:type="auto"/>
            <w:vMerge w:val="continue"/>
            <w:noWrap w:val="0"/>
            <w:vAlign w:val="center"/>
          </w:tcPr>
          <w:p>
            <w:pPr>
              <w:jc w:val="center"/>
              <w:rPr>
                <w:rFonts w:hint="eastAsia"/>
                <w:b/>
                <w:szCs w:val="21"/>
              </w:rPr>
            </w:pPr>
          </w:p>
        </w:tc>
        <w:tc>
          <w:tcPr>
            <w:tcW w:w="0" w:type="auto"/>
            <w:vMerge w:val="continue"/>
            <w:noWrap w:val="0"/>
            <w:vAlign w:val="center"/>
          </w:tcPr>
          <w:p>
            <w:pPr>
              <w:jc w:val="center"/>
              <w:rPr>
                <w:rFonts w:hint="eastAsia"/>
                <w:szCs w:val="21"/>
              </w:rPr>
            </w:pPr>
          </w:p>
        </w:tc>
        <w:tc>
          <w:tcPr>
            <w:tcW w:w="0" w:type="auto"/>
            <w:vMerge w:val="continue"/>
            <w:noWrap w:val="0"/>
            <w:vAlign w:val="center"/>
          </w:tcPr>
          <w:p>
            <w:pPr>
              <w:jc w:val="center"/>
              <w:rPr>
                <w:rFonts w:hint="eastAsia"/>
                <w:szCs w:val="21"/>
              </w:rPr>
            </w:pPr>
          </w:p>
        </w:tc>
        <w:tc>
          <w:tcPr>
            <w:tcW w:w="6517" w:type="dxa"/>
            <w:noWrap w:val="0"/>
            <w:vAlign w:val="center"/>
          </w:tcPr>
          <w:p>
            <w:pPr>
              <w:numPr>
                <w:ilvl w:val="0"/>
                <w:numId w:val="0"/>
              </w:numPr>
              <w:spacing w:line="0" w:lineRule="atLeast"/>
              <w:rPr>
                <w:rFonts w:hint="eastAsia" w:ascii="宋体" w:hAnsi="宋体"/>
                <w:b/>
                <w:szCs w:val="28"/>
              </w:rPr>
            </w:pPr>
            <w:r>
              <w:rPr>
                <w:rFonts w:hint="default" w:ascii="宋体" w:hAnsi="宋体"/>
                <w:b/>
                <w:szCs w:val="28"/>
              </w:rPr>
              <w:t>3、</w:t>
            </w:r>
            <w:r>
              <w:rPr>
                <w:rFonts w:hint="eastAsia" w:ascii="宋体" w:hAnsi="宋体"/>
                <w:b/>
                <w:szCs w:val="28"/>
              </w:rPr>
              <w:t>裁判员技术水平（</w:t>
            </w:r>
            <w:r>
              <w:rPr>
                <w:rFonts w:ascii="宋体" w:hAnsi="宋体"/>
                <w:b/>
                <w:szCs w:val="28"/>
              </w:rPr>
              <w:t>1</w:t>
            </w:r>
            <w:r>
              <w:rPr>
                <w:rFonts w:hint="eastAsia" w:ascii="宋体" w:hAnsi="宋体"/>
                <w:b/>
                <w:szCs w:val="28"/>
              </w:rPr>
              <w:t>5分）</w:t>
            </w:r>
          </w:p>
          <w:p>
            <w:pPr>
              <w:numPr>
                <w:ilvl w:val="0"/>
                <w:numId w:val="0"/>
              </w:numPr>
              <w:spacing w:line="320" w:lineRule="exact"/>
              <w:ind w:leftChars="0"/>
              <w:jc w:val="left"/>
              <w:rPr>
                <w:rFonts w:hint="eastAsia"/>
              </w:rPr>
            </w:pPr>
            <w:r>
              <w:rPr>
                <w:rFonts w:hint="eastAsia"/>
                <w:bCs/>
              </w:rPr>
              <w:t>投标人</w:t>
            </w:r>
            <w:r>
              <w:t>承办</w:t>
            </w:r>
            <w:r>
              <w:rPr>
                <w:rFonts w:hint="eastAsia"/>
                <w:lang w:eastAsia="zh-CN"/>
              </w:rPr>
              <w:t>该</w:t>
            </w:r>
            <w:r>
              <w:rPr>
                <w:bCs/>
              </w:rPr>
              <w:t>至少配备</w:t>
            </w:r>
            <w:r>
              <w:rPr>
                <w:rFonts w:hint="eastAsia"/>
                <w:bCs/>
                <w:lang w:val="en-US" w:eastAsia="zh-CN"/>
              </w:rPr>
              <w:t>5</w:t>
            </w:r>
            <w:r>
              <w:rPr>
                <w:rFonts w:hint="default"/>
                <w:bCs/>
              </w:rPr>
              <w:t>名</w:t>
            </w:r>
            <w:r>
              <w:rPr>
                <w:bCs/>
              </w:rPr>
              <w:t>裁判员，</w:t>
            </w:r>
            <w:r>
              <w:rPr>
                <w:rFonts w:hint="eastAsia"/>
              </w:rPr>
              <w:t>在此基础上：</w:t>
            </w:r>
          </w:p>
          <w:p>
            <w:pPr>
              <w:numPr>
                <w:ilvl w:val="0"/>
                <w:numId w:val="0"/>
              </w:numPr>
              <w:spacing w:line="320" w:lineRule="exact"/>
              <w:ind w:firstLine="420" w:firstLineChars="200"/>
              <w:jc w:val="left"/>
              <w:rPr>
                <w:rFonts w:hint="eastAsia"/>
              </w:rPr>
            </w:pPr>
            <w:r>
              <w:rPr>
                <w:bCs/>
              </w:rPr>
              <w:t>（</w:t>
            </w:r>
            <w:r>
              <w:rPr>
                <w:rFonts w:hint="default"/>
                <w:bCs/>
              </w:rPr>
              <w:t>1</w:t>
            </w:r>
            <w:r>
              <w:rPr>
                <w:bCs/>
              </w:rPr>
              <w:t>）配备的判员</w:t>
            </w:r>
            <w:r>
              <w:rPr>
                <w:rFonts w:hint="eastAsia"/>
                <w:bCs/>
              </w:rPr>
              <w:t>至少1名</w:t>
            </w:r>
            <w:r>
              <w:rPr>
                <w:bCs/>
              </w:rPr>
              <w:t>技术等级达到</w:t>
            </w:r>
            <w:r>
              <w:rPr>
                <w:rFonts w:hint="eastAsia"/>
                <w:bCs/>
              </w:rPr>
              <w:t>二</w:t>
            </w:r>
            <w:r>
              <w:rPr>
                <w:bCs/>
              </w:rPr>
              <w:t>级的，得5</w:t>
            </w:r>
            <w:r>
              <w:rPr>
                <w:rFonts w:hint="eastAsia"/>
                <w:bCs/>
              </w:rPr>
              <w:t>分。</w:t>
            </w:r>
          </w:p>
          <w:p>
            <w:pPr>
              <w:numPr>
                <w:ilvl w:val="0"/>
                <w:numId w:val="0"/>
              </w:numPr>
              <w:spacing w:line="320" w:lineRule="exact"/>
              <w:ind w:firstLine="420" w:firstLineChars="200"/>
              <w:jc w:val="left"/>
            </w:pPr>
            <w:r>
              <w:rPr>
                <w:rFonts w:hint="default"/>
                <w:bCs/>
              </w:rPr>
              <w:t>（2）</w:t>
            </w:r>
            <w:r>
              <w:rPr>
                <w:bCs/>
              </w:rPr>
              <w:t>配备的判员</w:t>
            </w:r>
            <w:r>
              <w:rPr>
                <w:rFonts w:hint="eastAsia"/>
                <w:bCs/>
              </w:rPr>
              <w:t>至少1名</w:t>
            </w:r>
            <w:r>
              <w:rPr>
                <w:bCs/>
              </w:rPr>
              <w:t>技术等级达到一级的，得</w:t>
            </w:r>
            <w:r>
              <w:rPr>
                <w:rFonts w:hint="eastAsia"/>
                <w:bCs/>
              </w:rPr>
              <w:t>10分。</w:t>
            </w:r>
          </w:p>
          <w:p>
            <w:pPr>
              <w:numPr>
                <w:ilvl w:val="0"/>
                <w:numId w:val="0"/>
              </w:numPr>
              <w:spacing w:line="320" w:lineRule="exact"/>
              <w:ind w:firstLine="420" w:firstLineChars="200"/>
              <w:jc w:val="left"/>
            </w:pPr>
            <w:r>
              <w:rPr>
                <w:rFonts w:hint="default"/>
                <w:bCs/>
              </w:rPr>
              <w:t>（3）</w:t>
            </w:r>
            <w:r>
              <w:rPr>
                <w:bCs/>
              </w:rPr>
              <w:t>配备的判员</w:t>
            </w:r>
            <w:r>
              <w:rPr>
                <w:rFonts w:hint="eastAsia"/>
                <w:bCs/>
              </w:rPr>
              <w:t>至少1名</w:t>
            </w:r>
            <w:r>
              <w:rPr>
                <w:bCs/>
              </w:rPr>
              <w:t>技术等级达到国家级及以上的，得</w:t>
            </w:r>
            <w:r>
              <w:rPr>
                <w:rFonts w:hint="eastAsia"/>
                <w:bCs/>
              </w:rPr>
              <w:t>15分。</w:t>
            </w:r>
          </w:p>
          <w:p>
            <w:pPr>
              <w:spacing w:line="0" w:lineRule="atLeast"/>
              <w:rPr>
                <w:rFonts w:hint="default" w:eastAsia="宋体"/>
                <w:szCs w:val="21"/>
                <w:lang w:val="en-US" w:eastAsia="zh-CN"/>
              </w:rPr>
            </w:pPr>
            <w:r>
              <w:rPr>
                <w:rFonts w:hint="eastAsia"/>
                <w:bCs/>
              </w:rPr>
              <w:t>评分标准：</w:t>
            </w:r>
            <w:r>
              <w:t>投标人提供</w:t>
            </w:r>
            <w:r>
              <w:rPr>
                <w:rFonts w:hint="eastAsia"/>
                <w:lang w:eastAsia="zh-CN"/>
              </w:rPr>
              <w:t>国家体育总局体操运动管理中心</w:t>
            </w:r>
            <w:r>
              <w:rPr>
                <w:rFonts w:hint="eastAsia"/>
              </w:rPr>
              <w:t>颁发的</w:t>
            </w:r>
            <w:r>
              <w:rPr>
                <w:rFonts w:hint="eastAsia"/>
                <w:lang w:eastAsia="zh-CN"/>
              </w:rPr>
              <w:t>中国啦啦操</w:t>
            </w:r>
            <w:r>
              <w:t>裁判员</w:t>
            </w:r>
            <w:r>
              <w:rPr>
                <w:rFonts w:hint="eastAsia"/>
                <w:bCs/>
                <w:lang w:eastAsia="zh-CN"/>
              </w:rPr>
              <w:t>资格</w:t>
            </w:r>
            <w:r>
              <w:rPr>
                <w:rFonts w:hint="eastAsia"/>
                <w:bCs/>
              </w:rPr>
              <w:t>证书复印件</w:t>
            </w:r>
            <w:r>
              <w:t>。</w:t>
            </w:r>
            <w:r>
              <w:rPr>
                <w:rFonts w:hint="eastAsia"/>
              </w:rPr>
              <w:t>未提供或提供无效证</w:t>
            </w:r>
            <w:r>
              <w:t>明</w:t>
            </w:r>
            <w:r>
              <w:rPr>
                <w:rFonts w:hint="eastAsia"/>
              </w:rPr>
              <w:t>的</w:t>
            </w:r>
            <w: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94" w:type="dxa"/>
            <w:vMerge w:val="restart"/>
            <w:noWrap w:val="0"/>
            <w:vAlign w:val="center"/>
          </w:tcPr>
          <w:p>
            <w:pPr>
              <w:jc w:val="center"/>
              <w:rPr>
                <w:rFonts w:hint="eastAsia"/>
                <w:b/>
                <w:szCs w:val="21"/>
              </w:rPr>
            </w:pPr>
            <w:r>
              <w:rPr>
                <w:rFonts w:hint="eastAsia"/>
                <w:b/>
                <w:szCs w:val="21"/>
              </w:rPr>
              <w:t>三</w:t>
            </w:r>
          </w:p>
        </w:tc>
        <w:tc>
          <w:tcPr>
            <w:tcW w:w="1258" w:type="dxa"/>
            <w:vMerge w:val="restart"/>
            <w:noWrap w:val="0"/>
            <w:vAlign w:val="center"/>
          </w:tcPr>
          <w:p>
            <w:pPr>
              <w:jc w:val="center"/>
              <w:rPr>
                <w:rFonts w:hint="eastAsia"/>
                <w:szCs w:val="21"/>
              </w:rPr>
            </w:pPr>
            <w:r>
              <w:rPr>
                <w:rFonts w:hint="eastAsia"/>
                <w:szCs w:val="21"/>
              </w:rPr>
              <w:t>商务部分</w:t>
            </w:r>
          </w:p>
        </w:tc>
        <w:tc>
          <w:tcPr>
            <w:tcW w:w="587" w:type="dxa"/>
            <w:vMerge w:val="restart"/>
            <w:noWrap w:val="0"/>
            <w:vAlign w:val="center"/>
          </w:tcPr>
          <w:p>
            <w:pPr>
              <w:jc w:val="center"/>
              <w:rPr>
                <w:rFonts w:hint="default"/>
                <w:color w:val="auto"/>
                <w:szCs w:val="21"/>
                <w:lang w:val="en"/>
              </w:rPr>
            </w:pPr>
            <w:r>
              <w:rPr>
                <w:rFonts w:hint="eastAsia"/>
                <w:color w:val="auto"/>
                <w:szCs w:val="21"/>
              </w:rPr>
              <w:t>1</w:t>
            </w:r>
            <w:r>
              <w:rPr>
                <w:rFonts w:hint="default"/>
                <w:color w:val="auto"/>
                <w:szCs w:val="21"/>
                <w:lang w:val="en"/>
              </w:rPr>
              <w:t>0</w:t>
            </w:r>
          </w:p>
        </w:tc>
        <w:tc>
          <w:tcPr>
            <w:tcW w:w="6517" w:type="dxa"/>
            <w:noWrap w:val="0"/>
            <w:vAlign w:val="center"/>
          </w:tcPr>
          <w:p>
            <w:pPr>
              <w:spacing w:line="240" w:lineRule="exact"/>
              <w:rPr>
                <w:rFonts w:hint="eastAsia" w:ascii="宋体" w:hAnsi="宋体"/>
                <w:b/>
                <w:color w:val="auto"/>
                <w:szCs w:val="28"/>
              </w:rPr>
            </w:pPr>
            <w:r>
              <w:rPr>
                <w:rFonts w:hint="eastAsia" w:ascii="宋体" w:hAnsi="宋体"/>
                <w:b/>
                <w:color w:val="auto"/>
                <w:szCs w:val="28"/>
              </w:rPr>
              <w:t>投标人同类项目业绩情况（5分）</w:t>
            </w:r>
          </w:p>
          <w:p>
            <w:pPr>
              <w:spacing w:line="240" w:lineRule="exact"/>
              <w:ind w:right="420"/>
              <w:rPr>
                <w:rFonts w:hint="eastAsia"/>
                <w:b/>
                <w:color w:val="auto"/>
                <w:sz w:val="28"/>
                <w:szCs w:val="28"/>
              </w:rPr>
            </w:pPr>
            <w:r>
              <w:rPr>
                <w:rFonts w:hint="eastAsia"/>
                <w:color w:val="auto"/>
                <w:szCs w:val="21"/>
              </w:rPr>
              <w:t>投标人近3年（201</w:t>
            </w:r>
            <w:r>
              <w:rPr>
                <w:rFonts w:hint="default"/>
                <w:color w:val="auto"/>
                <w:szCs w:val="21"/>
                <w:lang w:val="en"/>
              </w:rPr>
              <w:t>9</w:t>
            </w:r>
            <w:r>
              <w:rPr>
                <w:rFonts w:hint="eastAsia"/>
                <w:color w:val="auto"/>
                <w:szCs w:val="21"/>
              </w:rPr>
              <w:t>年1</w:t>
            </w:r>
            <w:r>
              <w:rPr>
                <w:rFonts w:hint="eastAsia"/>
                <w:color w:val="auto"/>
                <w:szCs w:val="21"/>
                <w:lang w:val="en-US" w:eastAsia="zh-CN"/>
              </w:rPr>
              <w:t>1</w:t>
            </w:r>
            <w:r>
              <w:rPr>
                <w:rFonts w:hint="eastAsia"/>
                <w:color w:val="auto"/>
                <w:szCs w:val="21"/>
              </w:rPr>
              <w:t>月1日以来），具有承办</w:t>
            </w:r>
            <w:r>
              <w:rPr>
                <w:rFonts w:hint="eastAsia"/>
                <w:color w:val="auto"/>
                <w:szCs w:val="21"/>
                <w:lang w:val="en-US" w:eastAsia="zh-CN"/>
              </w:rPr>
              <w:t>体育</w:t>
            </w:r>
            <w:r>
              <w:rPr>
                <w:rFonts w:hint="eastAsia"/>
                <w:color w:val="auto"/>
                <w:szCs w:val="21"/>
              </w:rPr>
              <w:t>项目的经验，每提供一项得</w:t>
            </w:r>
            <w:r>
              <w:rPr>
                <w:rFonts w:hint="eastAsia"/>
                <w:color w:val="auto"/>
                <w:szCs w:val="21"/>
                <w:lang w:val="en-US" w:eastAsia="zh-CN"/>
              </w:rPr>
              <w:t>2.</w:t>
            </w:r>
            <w:r>
              <w:rPr>
                <w:rFonts w:hint="eastAsia"/>
                <w:color w:val="auto"/>
                <w:szCs w:val="21"/>
              </w:rPr>
              <w:t>5分，最高得5分，请提供合同或中标通知书扫描件，未提供得0分。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94" w:type="dxa"/>
            <w:vMerge w:val="continue"/>
            <w:noWrap w:val="0"/>
            <w:vAlign w:val="center"/>
          </w:tcPr>
          <w:p>
            <w:pPr>
              <w:jc w:val="center"/>
              <w:rPr>
                <w:rFonts w:hint="eastAsia"/>
                <w:b/>
                <w:szCs w:val="21"/>
              </w:rPr>
            </w:pPr>
          </w:p>
        </w:tc>
        <w:tc>
          <w:tcPr>
            <w:tcW w:w="1258" w:type="dxa"/>
            <w:vMerge w:val="continue"/>
            <w:noWrap w:val="0"/>
            <w:vAlign w:val="center"/>
          </w:tcPr>
          <w:p>
            <w:pPr>
              <w:jc w:val="center"/>
              <w:rPr>
                <w:rFonts w:hint="eastAsia"/>
                <w:szCs w:val="21"/>
              </w:rPr>
            </w:pPr>
          </w:p>
        </w:tc>
        <w:tc>
          <w:tcPr>
            <w:tcW w:w="587" w:type="dxa"/>
            <w:vMerge w:val="continue"/>
            <w:noWrap w:val="0"/>
            <w:vAlign w:val="center"/>
          </w:tcPr>
          <w:p>
            <w:pPr>
              <w:jc w:val="center"/>
              <w:rPr>
                <w:rFonts w:hint="eastAsia"/>
                <w:color w:val="auto"/>
                <w:szCs w:val="21"/>
              </w:rPr>
            </w:pPr>
          </w:p>
        </w:tc>
        <w:tc>
          <w:tcPr>
            <w:tcW w:w="6517" w:type="dxa"/>
            <w:noWrap w:val="0"/>
            <w:vAlign w:val="center"/>
          </w:tcPr>
          <w:p>
            <w:pPr>
              <w:spacing w:line="240" w:lineRule="exact"/>
              <w:ind w:right="420"/>
              <w:jc w:val="both"/>
              <w:rPr>
                <w:rFonts w:hint="eastAsia" w:ascii="宋体" w:hAnsi="宋体"/>
                <w:b/>
                <w:color w:val="auto"/>
                <w:szCs w:val="28"/>
              </w:rPr>
            </w:pPr>
            <w:r>
              <w:rPr>
                <w:rFonts w:hint="eastAsia" w:ascii="宋体" w:hAnsi="宋体"/>
                <w:b/>
                <w:color w:val="auto"/>
                <w:szCs w:val="28"/>
              </w:rPr>
              <w:t>服务便利性（</w:t>
            </w:r>
            <w:r>
              <w:rPr>
                <w:rFonts w:hint="default" w:ascii="宋体" w:hAnsi="宋体"/>
                <w:b/>
                <w:color w:val="auto"/>
                <w:szCs w:val="28"/>
                <w:lang w:val="en"/>
              </w:rPr>
              <w:t>5</w:t>
            </w:r>
            <w:r>
              <w:rPr>
                <w:rFonts w:hint="eastAsia" w:ascii="宋体" w:hAnsi="宋体"/>
                <w:b/>
                <w:color w:val="auto"/>
                <w:szCs w:val="28"/>
              </w:rPr>
              <w:t>分）</w:t>
            </w:r>
          </w:p>
          <w:p>
            <w:pPr>
              <w:numPr>
                <w:ilvl w:val="0"/>
                <w:numId w:val="0"/>
              </w:numPr>
              <w:spacing w:line="240" w:lineRule="exact"/>
              <w:ind w:right="420" w:rightChars="0"/>
              <w:jc w:val="both"/>
              <w:rPr>
                <w:rFonts w:hint="eastAsia" w:ascii="宋体" w:hAnsi="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lang w:val="en" w:eastAsia="zh-CN"/>
              </w:rPr>
              <w:t>深圳供应商，或深圳供应商但在深圳有合法注册的分公司（或售后机构）（分公司的必须提供分公司营业执照扫描件，售后机构必须同时提供售后服务合同及售后机构营业执照扫描件作为得分依据，原件备查）的，得</w:t>
            </w:r>
            <w:r>
              <w:rPr>
                <w:rFonts w:hint="eastAsia" w:ascii="宋体" w:hAnsi="宋体"/>
                <w:color w:val="auto"/>
                <w:szCs w:val="21"/>
                <w:lang w:val="en-US" w:eastAsia="zh-CN"/>
              </w:rPr>
              <w:t>5分；否则不得分。</w:t>
            </w:r>
          </w:p>
          <w:p>
            <w:pPr>
              <w:spacing w:line="240" w:lineRule="exact"/>
              <w:ind w:right="420"/>
              <w:jc w:val="both"/>
              <w:rPr>
                <w:rFonts w:hint="eastAsia"/>
                <w:color w:val="auto"/>
                <w:szCs w:val="21"/>
              </w:rPr>
            </w:pPr>
            <w:r>
              <w:rPr>
                <w:rFonts w:hint="eastAsia" w:ascii="宋体" w:hAnsi="宋体"/>
                <w:color w:val="auto"/>
                <w:szCs w:val="21"/>
                <w:lang w:val="en-US" w:eastAsia="zh-CN"/>
              </w:rPr>
              <w:t>2、外地供应商承诺：中标后设立本地经营（服务）网点的，提供承诺文件（格式自定）的，得3分；未提供承诺或承诺内容不满足要求均不得分。</w:t>
            </w:r>
          </w:p>
        </w:tc>
      </w:tr>
    </w:tbl>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p>
      <w:pPr>
        <w:pageBreakBefore w:val="0"/>
        <w:widowControl w:val="0"/>
        <w:kinsoku/>
        <w:wordWrap/>
        <w:overflowPunct/>
        <w:topLinePunct w:val="0"/>
        <w:autoSpaceDE/>
        <w:autoSpaceDN/>
        <w:bidi w:val="0"/>
        <w:adjustRightInd/>
        <w:snapToGrid/>
        <w:spacing w:line="600" w:lineRule="exact"/>
        <w:jc w:val="both"/>
        <w:textAlignment w:val="auto"/>
        <w:rPr>
          <w:rFonts w:hint="eastAsia" w:ascii="CESI黑体-GB2312" w:hAnsi="CESI黑体-GB2312" w:eastAsia="CESI黑体-GB2312" w:cs="CESI黑体-GB2312"/>
          <w:b w:val="0"/>
          <w:bCs/>
          <w:sz w:val="32"/>
          <w:szCs w:val="32"/>
          <w:lang w:eastAsia="zh-CN"/>
        </w:rPr>
      </w:pPr>
    </w:p>
    <w:bookmarkEnd w:id="0"/>
    <w:bookmarkEnd w:id="1"/>
    <w:p>
      <w:pPr>
        <w:spacing w:line="480" w:lineRule="auto"/>
        <w:rPr>
          <w:rFonts w:ascii="仿宋_GB2312" w:eastAsia="仿宋_GB2312" w:cs="Times New Roman"/>
          <w:sz w:val="32"/>
          <w:szCs w:val="32"/>
        </w:rPr>
      </w:pP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A0F0E"/>
    <w:multiLevelType w:val="multilevel"/>
    <w:tmpl w:val="508A0F0E"/>
    <w:lvl w:ilvl="0" w:tentative="0">
      <w:start w:val="1"/>
      <w:numFmt w:val="decimalEnclosedCircle"/>
      <w:lvlText w:val="%1"/>
      <w:lvlJc w:val="left"/>
      <w:pPr>
        <w:ind w:left="360" w:hanging="360"/>
      </w:pPr>
      <w:rPr>
        <w:rFonts w:ascii="宋体" w:hAnsi="宋体" w:eastAsia="宋体" w:cs="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GNjZjBiNjFiNTdlZGJlODM0MjkyMTY0OTdkNjgifQ=="/>
  </w:docVars>
  <w:rsids>
    <w:rsidRoot w:val="0025792A"/>
    <w:rsid w:val="001E4B34"/>
    <w:rsid w:val="0025792A"/>
    <w:rsid w:val="003512D7"/>
    <w:rsid w:val="00484F8B"/>
    <w:rsid w:val="0049556D"/>
    <w:rsid w:val="004C1256"/>
    <w:rsid w:val="0063350C"/>
    <w:rsid w:val="00677F42"/>
    <w:rsid w:val="00765B71"/>
    <w:rsid w:val="00941DAE"/>
    <w:rsid w:val="00A26CA2"/>
    <w:rsid w:val="00A35C20"/>
    <w:rsid w:val="00A72B27"/>
    <w:rsid w:val="00D0628F"/>
    <w:rsid w:val="00E2243C"/>
    <w:rsid w:val="00E234E0"/>
    <w:rsid w:val="00E2452B"/>
    <w:rsid w:val="00E41AD4"/>
    <w:rsid w:val="069D2C4A"/>
    <w:rsid w:val="074A6BC1"/>
    <w:rsid w:val="0A7549F2"/>
    <w:rsid w:val="0EED263A"/>
    <w:rsid w:val="15033620"/>
    <w:rsid w:val="19B11EB8"/>
    <w:rsid w:val="1B29764F"/>
    <w:rsid w:val="21855589"/>
    <w:rsid w:val="29216493"/>
    <w:rsid w:val="29770EEA"/>
    <w:rsid w:val="33083E2F"/>
    <w:rsid w:val="3A0470CB"/>
    <w:rsid w:val="3ACF7718"/>
    <w:rsid w:val="3CE12BC2"/>
    <w:rsid w:val="3DDE6E57"/>
    <w:rsid w:val="44DB292F"/>
    <w:rsid w:val="46E03F50"/>
    <w:rsid w:val="49956042"/>
    <w:rsid w:val="4BC9798F"/>
    <w:rsid w:val="4CB117EE"/>
    <w:rsid w:val="4CE731FB"/>
    <w:rsid w:val="52C070A0"/>
    <w:rsid w:val="5C4F601E"/>
    <w:rsid w:val="5F0B0140"/>
    <w:rsid w:val="5FFE11C3"/>
    <w:rsid w:val="610C5EA8"/>
    <w:rsid w:val="644445CC"/>
    <w:rsid w:val="65462362"/>
    <w:rsid w:val="65B67F62"/>
    <w:rsid w:val="66FB7D31"/>
    <w:rsid w:val="67047E86"/>
    <w:rsid w:val="6A577FD5"/>
    <w:rsid w:val="6B3C6534"/>
    <w:rsid w:val="70032EE1"/>
    <w:rsid w:val="7AC07E58"/>
    <w:rsid w:val="7BBD1B97"/>
    <w:rsid w:val="7D644F37"/>
    <w:rsid w:val="7DDB4786"/>
    <w:rsid w:val="7DEFB7F4"/>
    <w:rsid w:val="7DF78713"/>
    <w:rsid w:val="7DFB5D0D"/>
    <w:rsid w:val="7FBAE687"/>
    <w:rsid w:val="AFFFC880"/>
    <w:rsid w:val="C6BCDA3B"/>
    <w:rsid w:val="E660F13E"/>
    <w:rsid w:val="FFBE58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2"/>
    <w:qFormat/>
    <w:uiPriority w:val="99"/>
    <w:pPr>
      <w:spacing w:beforeAutospacing="1" w:afterAutospacing="1"/>
      <w:jc w:val="left"/>
      <w:outlineLvl w:val="2"/>
    </w:pPr>
    <w:rPr>
      <w:rFonts w:ascii="宋体" w:hAnsi="宋体" w:cs="宋体"/>
      <w:b/>
      <w:bCs/>
      <w:kern w:val="0"/>
      <w:sz w:val="27"/>
      <w:szCs w:val="27"/>
    </w:rPr>
  </w:style>
  <w:style w:type="paragraph" w:styleId="3">
    <w:name w:val="heading 4"/>
    <w:basedOn w:val="1"/>
    <w:next w:val="1"/>
    <w:link w:val="13"/>
    <w:qFormat/>
    <w:uiPriority w:val="99"/>
    <w:pPr>
      <w:spacing w:beforeAutospacing="1" w:afterAutospacing="1"/>
      <w:jc w:val="left"/>
      <w:outlineLvl w:val="3"/>
    </w:pPr>
    <w:rPr>
      <w:rFonts w:ascii="宋体" w:hAnsi="宋体" w:cs="宋体"/>
      <w:b/>
      <w:bCs/>
      <w:kern w:val="0"/>
      <w:sz w:val="24"/>
      <w:szCs w:val="24"/>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rPr>
      <w:rFonts w:ascii="Times New Roman" w:hAnsi="Times New Roman"/>
      <w:kern w:val="0"/>
      <w:sz w:val="20"/>
      <w:szCs w:val="20"/>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ordWrap w:val="0"/>
      <w:jc w:val="left"/>
    </w:pPr>
    <w:rPr>
      <w:kern w:val="0"/>
      <w:sz w:val="24"/>
      <w:szCs w:val="24"/>
    </w:rPr>
  </w:style>
  <w:style w:type="character" w:styleId="10">
    <w:name w:val="Strong"/>
    <w:basedOn w:val="9"/>
    <w:qFormat/>
    <w:uiPriority w:val="99"/>
    <w:rPr>
      <w:b/>
      <w:bCs/>
    </w:rPr>
  </w:style>
  <w:style w:type="character" w:styleId="11">
    <w:name w:val="Hyperlink"/>
    <w:basedOn w:val="9"/>
    <w:qFormat/>
    <w:uiPriority w:val="99"/>
    <w:rPr>
      <w:color w:val="0000FF"/>
      <w:u w:val="single"/>
    </w:rPr>
  </w:style>
  <w:style w:type="character" w:customStyle="1" w:styleId="12">
    <w:name w:val="Heading 3 Char"/>
    <w:basedOn w:val="9"/>
    <w:link w:val="2"/>
    <w:semiHidden/>
    <w:qFormat/>
    <w:locked/>
    <w:uiPriority w:val="99"/>
    <w:rPr>
      <w:rFonts w:ascii="Calibri" w:hAnsi="Calibri" w:cs="Calibri"/>
      <w:b/>
      <w:bCs/>
      <w:sz w:val="32"/>
      <w:szCs w:val="32"/>
    </w:rPr>
  </w:style>
  <w:style w:type="character" w:customStyle="1" w:styleId="13">
    <w:name w:val="Heading 4 Char"/>
    <w:basedOn w:val="9"/>
    <w:link w:val="3"/>
    <w:semiHidden/>
    <w:qFormat/>
    <w:locked/>
    <w:uiPriority w:val="99"/>
    <w:rPr>
      <w:rFonts w:ascii="Cambria" w:hAnsi="Cambria" w:eastAsia="宋体" w:cs="Cambria"/>
      <w:b/>
      <w:bCs/>
      <w:sz w:val="28"/>
      <w:szCs w:val="28"/>
    </w:rPr>
  </w:style>
  <w:style w:type="character" w:customStyle="1" w:styleId="14">
    <w:name w:val="Header Char"/>
    <w:basedOn w:val="9"/>
    <w:link w:val="6"/>
    <w:semiHidden/>
    <w:qFormat/>
    <w:locked/>
    <w:uiPriority w:val="99"/>
    <w:rPr>
      <w:rFonts w:ascii="Calibri" w:hAnsi="Calibri" w:cs="Calibri"/>
      <w:sz w:val="18"/>
      <w:szCs w:val="18"/>
    </w:rPr>
  </w:style>
  <w:style w:type="character" w:customStyle="1" w:styleId="15">
    <w:name w:val="Footer Char"/>
    <w:basedOn w:val="9"/>
    <w:link w:val="5"/>
    <w:semiHidden/>
    <w:qFormat/>
    <w:locked/>
    <w:uiPriority w:val="99"/>
    <w:rPr>
      <w:rFonts w:ascii="Calibri" w:hAnsi="Calibri" w:cs="Calibri"/>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user</Company>
  <Pages>3</Pages>
  <Words>1827</Words>
  <Characters>1864</Characters>
  <Lines>0</Lines>
  <Paragraphs>0</Paragraphs>
  <TotalTime>36</TotalTime>
  <ScaleCrop>false</ScaleCrop>
  <LinksUpToDate>false</LinksUpToDate>
  <CharactersWithSpaces>1969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brigitta</dc:creator>
  <cp:lastModifiedBy>小容</cp:lastModifiedBy>
  <dcterms:modified xsi:type="dcterms:W3CDTF">2022-10-09T03:34:07Z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42623C0AB3784984AB969E4667CE1894</vt:lpwstr>
  </property>
</Properties>
</file>